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overflowPunct/>
        <w:topLinePunct w:val="0"/>
        <w:autoSpaceDE/>
        <w:autoSpaceDN/>
        <w:bidi w:val="0"/>
        <w:ind w:firstLine="883"/>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服务类项目采购需求模板</w:t>
      </w:r>
    </w:p>
    <w:p>
      <w:pPr>
        <w:pStyle w:val="9"/>
        <w:keepNext w:val="0"/>
        <w:keepLines w:val="0"/>
        <w:pageBreakBefore w:val="0"/>
        <w:widowControl w:val="0"/>
        <w:kinsoku/>
        <w:overflowPunct/>
        <w:topLinePunct w:val="0"/>
        <w:autoSpaceDE/>
        <w:autoSpaceDN/>
        <w:bidi w:val="0"/>
        <w:ind w:firstLine="883"/>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（自行采购）</w:t>
      </w:r>
    </w:p>
    <w:p>
      <w:pPr>
        <w:pStyle w:val="9"/>
        <w:keepNext w:val="0"/>
        <w:keepLines w:val="0"/>
        <w:pageBreakBefore w:val="0"/>
        <w:widowControl w:val="0"/>
        <w:kinsoku/>
        <w:overflowPunct/>
        <w:topLinePunct w:val="0"/>
        <w:autoSpaceDE/>
        <w:autoSpaceDN/>
        <w:bidi w:val="0"/>
        <w:ind w:firstLine="883"/>
        <w:jc w:val="center"/>
        <w:rPr>
          <w:rFonts w:hint="eastAsia" w:ascii="黑体" w:hAnsi="黑体" w:eastAsia="黑体" w:cs="黑体"/>
          <w:b/>
          <w:bCs/>
          <w:color w:val="auto"/>
          <w:sz w:val="44"/>
          <w:szCs w:val="44"/>
          <w:highlight w:val="none"/>
          <w:lang w:eastAsia="zh-CN"/>
        </w:rPr>
      </w:pP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hint="eastAsia" w:ascii="仿宋_GB2312" w:hAnsi="仿宋_GB2312" w:eastAsia="仿宋_GB2312" w:cs="仿宋_GB2312"/>
          <w:b w:val="0"/>
          <w:bCs w:val="0"/>
          <w:color w:val="auto"/>
          <w:sz w:val="30"/>
          <w:szCs w:val="30"/>
          <w:highlight w:val="none"/>
        </w:rPr>
      </w:pPr>
      <w:r>
        <w:rPr>
          <w:rFonts w:hint="eastAsia" w:ascii="仿宋_GB2312" w:hAnsi="仿宋_GB2312" w:eastAsia="仿宋_GB2312" w:cs="仿宋_GB2312"/>
          <w:b w:val="0"/>
          <w:bCs w:val="0"/>
          <w:color w:val="auto"/>
          <w:sz w:val="30"/>
          <w:szCs w:val="30"/>
          <w:highlight w:val="none"/>
        </w:rPr>
        <w:t>一、采购项目概况</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（一）项目名称：深圳市2025年度国土空间规划体系下新增建设用地指标获取、配置评估</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（二）项目依据和必要性</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根据《土地管理法》的规定，建设占用土地，涉及农用地转为建设用地的，应当办理农用地转用审批手续。办理农转用需要使用土地利用计划指标。根据《自然资源部关于2020年土地利用计划管理的通知》（自然资发〔2020〕91号），2020年起，自然资源部实施土地利用计划指标管理改革，以真实有效的项目落地作为配置计划的依据，明确了坚持土地要素跟着项目走、坚持节约集约用地、坚持分类保障三个总体要求。2024年，自然资源部持续改进土地利用计划管理方式，印发《自然资源部关于2024年土地利用计划管理的通知》（自然资发〔2024〕55号），赋予地方更大用地自主权。目前，深圳市土地利用计划指标正在探索按规划期实施用地总量管控模式，以进一步提高土地要素配置精准性和利用效率。</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该项目旨在贯彻国家、省有关土地利用计划管理改革要求，充分衔接国土空间规划和“十四五”国民经济社会发展规划，结合深圳实际，综合研判本年度新增建设用地总量，合理统筹指标获取与配置，完善指标要素保障机制，全面提升建设项目用地指标保障能力。同时，坚持“项目跟着规划走、要素跟着项目走”的原则，持续优化指标配置，统筹引导有限指标向优势区域、重点项目倾斜，着力推进节约集约用地，支撑城市高质量发展。</w:t>
      </w: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hint="eastAsia" w:ascii="仿宋_GB2312" w:hAnsi="仿宋_GB2312" w:eastAsia="仿宋_GB2312" w:cs="仿宋_GB2312"/>
          <w:b w:val="0"/>
          <w:bCs w:val="0"/>
          <w:color w:val="auto"/>
          <w:sz w:val="30"/>
          <w:szCs w:val="30"/>
          <w:highlight w:val="none"/>
        </w:rPr>
      </w:pP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hint="eastAsia" w:ascii="仿宋_GB2312" w:hAnsi="仿宋_GB2312" w:eastAsia="仿宋_GB2312" w:cs="仿宋_GB2312"/>
          <w:b w:val="0"/>
          <w:bCs w:val="0"/>
          <w:color w:val="auto"/>
          <w:sz w:val="30"/>
          <w:szCs w:val="30"/>
          <w:highlight w:val="none"/>
        </w:rPr>
      </w:pPr>
      <w:r>
        <w:rPr>
          <w:rFonts w:hint="eastAsia" w:ascii="仿宋_GB2312" w:hAnsi="仿宋_GB2312" w:eastAsia="仿宋_GB2312" w:cs="仿宋_GB2312"/>
          <w:b w:val="0"/>
          <w:bCs w:val="0"/>
          <w:color w:val="auto"/>
          <w:sz w:val="30"/>
          <w:szCs w:val="30"/>
          <w:highlight w:val="none"/>
        </w:rPr>
        <w:t>二、项目管理和服务要求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一</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总体要求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1.项目</w:t>
      </w:r>
      <w:r>
        <w:rPr>
          <w:rFonts w:hint="eastAsia" w:ascii="仿宋_GB2312" w:hAnsi="仿宋_GB2312" w:eastAsia="仿宋_GB2312" w:cs="仿宋_GB2312"/>
          <w:color w:val="auto"/>
          <w:sz w:val="30"/>
          <w:szCs w:val="30"/>
          <w:highlight w:val="none"/>
          <w:lang w:val="en-US" w:eastAsia="zh-CN"/>
        </w:rPr>
        <w:t>开展</w:t>
      </w:r>
      <w:r>
        <w:rPr>
          <w:rFonts w:hint="eastAsia" w:ascii="仿宋_GB2312" w:hAnsi="仿宋_GB2312" w:eastAsia="仿宋_GB2312" w:cs="仿宋_GB2312"/>
          <w:color w:val="auto"/>
          <w:sz w:val="30"/>
          <w:szCs w:val="30"/>
          <w:highlight w:val="none"/>
        </w:rPr>
        <w:t>要严格依照《土地管理法》</w:t>
      </w:r>
      <w:r>
        <w:rPr>
          <w:rFonts w:hint="eastAsia" w:ascii="仿宋_GB2312" w:hAnsi="仿宋_GB2312" w:eastAsia="仿宋_GB2312" w:cs="仿宋_GB2312"/>
          <w:color w:val="auto"/>
          <w:sz w:val="30"/>
          <w:szCs w:val="30"/>
          <w:highlight w:val="none"/>
          <w:lang w:eastAsia="zh-CN"/>
        </w:rPr>
        <w:t>《土地管理法实施条例》</w:t>
      </w:r>
      <w:r>
        <w:rPr>
          <w:rFonts w:hint="eastAsia" w:ascii="仿宋_GB2312" w:hAnsi="仿宋_GB2312" w:eastAsia="仿宋_GB2312" w:cs="仿宋_GB2312"/>
          <w:color w:val="auto"/>
          <w:sz w:val="30"/>
          <w:szCs w:val="30"/>
          <w:highlight w:val="none"/>
          <w:lang w:val="en-US" w:eastAsia="zh-CN"/>
        </w:rPr>
        <w:t>等</w:t>
      </w:r>
      <w:r>
        <w:rPr>
          <w:rFonts w:hint="eastAsia" w:ascii="仿宋_GB2312" w:hAnsi="仿宋_GB2312" w:eastAsia="仿宋_GB2312" w:cs="仿宋_GB2312"/>
          <w:color w:val="auto"/>
          <w:sz w:val="30"/>
          <w:szCs w:val="30"/>
          <w:highlight w:val="none"/>
        </w:rPr>
        <w:t>国家颁布的</w:t>
      </w:r>
      <w:r>
        <w:rPr>
          <w:rFonts w:hint="eastAsia" w:ascii="仿宋_GB2312" w:hAnsi="仿宋_GB2312" w:eastAsia="仿宋_GB2312" w:cs="仿宋_GB2312"/>
          <w:color w:val="auto"/>
          <w:sz w:val="30"/>
          <w:szCs w:val="30"/>
          <w:highlight w:val="none"/>
          <w:lang w:val="en-US" w:eastAsia="zh-CN"/>
        </w:rPr>
        <w:t>其他</w:t>
      </w:r>
      <w:r>
        <w:rPr>
          <w:rFonts w:hint="eastAsia" w:ascii="仿宋_GB2312" w:hAnsi="仿宋_GB2312" w:eastAsia="仿宋_GB2312" w:cs="仿宋_GB2312"/>
          <w:color w:val="auto"/>
          <w:sz w:val="30"/>
          <w:szCs w:val="30"/>
          <w:highlight w:val="none"/>
        </w:rPr>
        <w:t>有关法律、法规及政策要求，</w:t>
      </w:r>
      <w:r>
        <w:rPr>
          <w:rFonts w:hint="eastAsia" w:ascii="仿宋_GB2312" w:hAnsi="仿宋_GB2312" w:eastAsia="仿宋_GB2312" w:cs="仿宋_GB2312"/>
          <w:color w:val="auto"/>
          <w:sz w:val="30"/>
          <w:szCs w:val="30"/>
          <w:highlight w:val="none"/>
          <w:lang w:val="en-US" w:eastAsia="zh-CN"/>
        </w:rPr>
        <w:t>并</w:t>
      </w:r>
      <w:r>
        <w:rPr>
          <w:rFonts w:hint="eastAsia" w:ascii="仿宋_GB2312" w:hAnsi="仿宋_GB2312" w:eastAsia="仿宋_GB2312" w:cs="仿宋_GB2312"/>
          <w:color w:val="auto"/>
          <w:sz w:val="30"/>
          <w:szCs w:val="30"/>
          <w:highlight w:val="none"/>
        </w:rPr>
        <w:t>符合相关的技术规范和标准</w:t>
      </w:r>
      <w:r>
        <w:rPr>
          <w:rFonts w:hint="eastAsia" w:ascii="仿宋_GB2312" w:hAnsi="仿宋_GB2312" w:eastAsia="仿宋_GB2312" w:cs="仿宋_GB2312"/>
          <w:color w:val="auto"/>
          <w:sz w:val="30"/>
          <w:szCs w:val="30"/>
          <w:highlight w:val="none"/>
          <w:lang w:eastAsia="zh-CN"/>
        </w:rPr>
        <w:t>。</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w:t>
      </w:r>
      <w:r>
        <w:rPr>
          <w:rFonts w:hint="eastAsia" w:ascii="仿宋_GB2312" w:hAnsi="仿宋_GB2312" w:eastAsia="仿宋_GB2312" w:cs="仿宋_GB2312"/>
          <w:color w:val="auto"/>
          <w:sz w:val="30"/>
          <w:szCs w:val="30"/>
          <w:highlight w:val="none"/>
          <w:lang w:val="en-US" w:eastAsia="zh-CN"/>
        </w:rPr>
        <w:t>.</w:t>
      </w:r>
      <w:r>
        <w:rPr>
          <w:rFonts w:hint="eastAsia" w:ascii="仿宋_GB2312" w:hAnsi="仿宋_GB2312" w:eastAsia="仿宋_GB2312" w:cs="仿宋_GB2312"/>
          <w:color w:val="auto"/>
          <w:sz w:val="30"/>
          <w:szCs w:val="30"/>
          <w:highlight w:val="none"/>
        </w:rPr>
        <w:t>有</w:t>
      </w:r>
      <w:r>
        <w:rPr>
          <w:rFonts w:hint="eastAsia" w:ascii="仿宋_GB2312" w:hAnsi="仿宋_GB2312" w:eastAsia="仿宋_GB2312" w:cs="仿宋_GB2312"/>
          <w:color w:val="auto"/>
          <w:sz w:val="30"/>
          <w:szCs w:val="30"/>
          <w:highlight w:val="none"/>
          <w:lang w:val="en-US" w:eastAsia="zh-CN"/>
        </w:rPr>
        <w:t>五</w:t>
      </w:r>
      <w:r>
        <w:rPr>
          <w:rFonts w:hint="eastAsia" w:ascii="仿宋_GB2312" w:hAnsi="仿宋_GB2312" w:eastAsia="仿宋_GB2312" w:cs="仿宋_GB2312"/>
          <w:color w:val="auto"/>
          <w:sz w:val="30"/>
          <w:szCs w:val="30"/>
          <w:highlight w:val="none"/>
        </w:rPr>
        <w:t>年以上（含</w:t>
      </w:r>
      <w:r>
        <w:rPr>
          <w:rFonts w:hint="eastAsia" w:ascii="仿宋_GB2312" w:hAnsi="仿宋_GB2312" w:eastAsia="仿宋_GB2312" w:cs="仿宋_GB2312"/>
          <w:color w:val="auto"/>
          <w:sz w:val="30"/>
          <w:szCs w:val="30"/>
          <w:highlight w:val="none"/>
          <w:lang w:val="en-US" w:eastAsia="zh-CN"/>
        </w:rPr>
        <w:t>五</w:t>
      </w:r>
      <w:r>
        <w:rPr>
          <w:rFonts w:hint="eastAsia" w:ascii="仿宋_GB2312" w:hAnsi="仿宋_GB2312" w:eastAsia="仿宋_GB2312" w:cs="仿宋_GB2312"/>
          <w:color w:val="auto"/>
          <w:sz w:val="30"/>
          <w:szCs w:val="30"/>
          <w:highlight w:val="none"/>
        </w:rPr>
        <w:t>年）的国土资源行业管理经验，了解和熟悉国家、省、市</w:t>
      </w:r>
      <w:r>
        <w:rPr>
          <w:rFonts w:hint="eastAsia" w:ascii="仿宋_GB2312" w:hAnsi="仿宋_GB2312" w:eastAsia="仿宋_GB2312" w:cs="仿宋_GB2312"/>
          <w:color w:val="auto"/>
          <w:sz w:val="30"/>
          <w:szCs w:val="30"/>
          <w:highlight w:val="none"/>
          <w:lang w:val="en-US" w:eastAsia="zh-CN"/>
        </w:rPr>
        <w:t>新增建设用地指标管理</w:t>
      </w:r>
      <w:r>
        <w:rPr>
          <w:rFonts w:hint="eastAsia" w:ascii="仿宋_GB2312" w:hAnsi="仿宋_GB2312" w:eastAsia="仿宋_GB2312" w:cs="仿宋_GB2312"/>
          <w:color w:val="auto"/>
          <w:sz w:val="30"/>
          <w:szCs w:val="30"/>
          <w:highlight w:val="none"/>
        </w:rPr>
        <w:t>相关政策要求。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二</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工作内容</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strike/>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1.深圳市新增建设用地指标潜力分析。</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strike/>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2.深圳市新增建设用地指标分类配置。</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strike/>
          <w:color w:val="auto"/>
          <w:sz w:val="30"/>
          <w:szCs w:val="30"/>
          <w:highlight w:val="none"/>
        </w:rPr>
      </w:pPr>
      <w:r>
        <w:rPr>
          <w:rFonts w:hint="eastAsia" w:ascii="仿宋_GB2312" w:hAnsi="仿宋_GB2312" w:eastAsia="仿宋_GB2312" w:cs="仿宋_GB2312"/>
          <w:color w:val="auto"/>
          <w:sz w:val="30"/>
          <w:szCs w:val="30"/>
          <w:highlight w:val="none"/>
          <w:lang w:val="en-US" w:eastAsia="zh-CN"/>
        </w:rPr>
        <w:t>3.深圳市新增建设用地指标配置实施评估。</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三</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成果要求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r>
        <w:rPr>
          <w:rFonts w:hint="eastAsia" w:ascii="仿宋_GB2312" w:hAnsi="仿宋_GB2312" w:eastAsia="仿宋_GB2312" w:cs="仿宋_GB2312"/>
          <w:color w:val="auto"/>
          <w:sz w:val="30"/>
          <w:szCs w:val="30"/>
          <w:highlight w:val="none"/>
          <w:lang w:val="en-US" w:eastAsia="zh-CN"/>
        </w:rPr>
        <w:t>.</w:t>
      </w:r>
      <w:r>
        <w:rPr>
          <w:rFonts w:hint="eastAsia" w:ascii="仿宋_GB2312" w:hAnsi="仿宋_GB2312" w:eastAsia="仿宋_GB2312" w:cs="仿宋_GB2312"/>
          <w:color w:val="auto"/>
          <w:sz w:val="30"/>
          <w:szCs w:val="30"/>
          <w:highlight w:val="none"/>
        </w:rPr>
        <w:t>项目成果</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1）深圳市</w:t>
      </w:r>
      <w:r>
        <w:rPr>
          <w:rFonts w:hint="eastAsia" w:ascii="仿宋_GB2312" w:hAnsi="仿宋_GB2312" w:eastAsia="仿宋_GB2312" w:cs="仿宋_GB2312"/>
          <w:color w:val="auto"/>
          <w:sz w:val="30"/>
          <w:szCs w:val="30"/>
          <w:highlight w:val="none"/>
          <w:lang w:val="en-US" w:eastAsia="zh-CN"/>
        </w:rPr>
        <w:t>2025年度</w:t>
      </w:r>
      <w:r>
        <w:rPr>
          <w:rFonts w:hint="eastAsia" w:ascii="仿宋_GB2312" w:hAnsi="仿宋_GB2312" w:eastAsia="仿宋_GB2312" w:cs="仿宋_GB2312"/>
          <w:color w:val="auto"/>
          <w:sz w:val="30"/>
          <w:szCs w:val="30"/>
          <w:highlight w:val="none"/>
        </w:rPr>
        <w:t>新增建设用地指标</w:t>
      </w:r>
      <w:r>
        <w:rPr>
          <w:rFonts w:hint="eastAsia" w:ascii="仿宋_GB2312" w:hAnsi="仿宋_GB2312" w:eastAsia="仿宋_GB2312" w:cs="仿宋_GB2312"/>
          <w:color w:val="auto"/>
          <w:sz w:val="30"/>
          <w:szCs w:val="30"/>
          <w:highlight w:val="none"/>
          <w:lang w:val="en-US" w:eastAsia="zh-CN"/>
        </w:rPr>
        <w:t>管理</w:t>
      </w:r>
      <w:r>
        <w:rPr>
          <w:rFonts w:hint="eastAsia" w:ascii="仿宋_GB2312" w:hAnsi="仿宋_GB2312" w:eastAsia="仿宋_GB2312" w:cs="仿宋_GB2312"/>
          <w:color w:val="auto"/>
          <w:sz w:val="30"/>
          <w:szCs w:val="30"/>
          <w:highlight w:val="none"/>
        </w:rPr>
        <w:t>工作报告</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word格式，电子、纸质，数量1</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2）深圳市</w:t>
      </w:r>
      <w:r>
        <w:rPr>
          <w:rFonts w:hint="eastAsia" w:ascii="仿宋_GB2312" w:hAnsi="仿宋_GB2312" w:eastAsia="仿宋_GB2312" w:cs="仿宋_GB2312"/>
          <w:color w:val="auto"/>
          <w:sz w:val="30"/>
          <w:szCs w:val="30"/>
          <w:highlight w:val="none"/>
          <w:lang w:val="en-US" w:eastAsia="zh-CN"/>
        </w:rPr>
        <w:t>2025年度</w:t>
      </w:r>
      <w:r>
        <w:rPr>
          <w:rFonts w:hint="eastAsia" w:ascii="仿宋_GB2312" w:hAnsi="仿宋_GB2312" w:eastAsia="仿宋_GB2312" w:cs="仿宋_GB2312"/>
          <w:color w:val="auto"/>
          <w:sz w:val="30"/>
          <w:szCs w:val="30"/>
          <w:highlight w:val="none"/>
        </w:rPr>
        <w:t>新增建设用地指标</w:t>
      </w:r>
      <w:r>
        <w:rPr>
          <w:rFonts w:hint="eastAsia" w:ascii="仿宋_GB2312" w:hAnsi="仿宋_GB2312" w:eastAsia="仿宋_GB2312" w:cs="仿宋_GB2312"/>
          <w:color w:val="auto"/>
          <w:sz w:val="30"/>
          <w:szCs w:val="30"/>
          <w:highlight w:val="none"/>
          <w:lang w:val="en-US" w:eastAsia="zh-CN"/>
        </w:rPr>
        <w:t>使用</w:t>
      </w:r>
      <w:r>
        <w:rPr>
          <w:rFonts w:hint="eastAsia" w:ascii="仿宋_GB2312" w:hAnsi="仿宋_GB2312" w:eastAsia="仿宋_GB2312" w:cs="仿宋_GB2312"/>
          <w:color w:val="auto"/>
          <w:sz w:val="30"/>
          <w:szCs w:val="30"/>
          <w:highlight w:val="none"/>
        </w:rPr>
        <w:t>数据库</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数据成果，shp格式，2000国家大地坐标系，电子，数量1</w:t>
      </w:r>
      <w:r>
        <w:rPr>
          <w:rFonts w:hint="eastAsia" w:ascii="仿宋_GB2312" w:hAnsi="仿宋_GB2312" w:eastAsia="仿宋_GB2312" w:cs="仿宋_GB2312"/>
          <w:color w:val="auto"/>
          <w:sz w:val="30"/>
          <w:szCs w:val="30"/>
          <w:highlight w:val="none"/>
          <w:lang w:eastAsia="zh-CN"/>
        </w:rPr>
        <w:t>）；</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lang w:eastAsia="zh-CN"/>
        </w:rPr>
        <w:t>（3）数据说明文件（word格式，电子、纸质，数量1）。</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w:t>
      </w:r>
      <w:r>
        <w:rPr>
          <w:rFonts w:hint="eastAsia" w:ascii="仿宋_GB2312" w:hAnsi="仿宋_GB2312" w:eastAsia="仿宋_GB2312" w:cs="仿宋_GB2312"/>
          <w:color w:val="auto"/>
          <w:sz w:val="30"/>
          <w:szCs w:val="30"/>
          <w:highlight w:val="none"/>
          <w:lang w:val="en-US" w:eastAsia="zh-CN"/>
        </w:rPr>
        <w:t>.</w:t>
      </w:r>
      <w:r>
        <w:rPr>
          <w:rFonts w:hint="eastAsia" w:ascii="仿宋_GB2312" w:hAnsi="仿宋_GB2312" w:eastAsia="仿宋_GB2312" w:cs="仿宋_GB2312"/>
          <w:color w:val="auto"/>
          <w:sz w:val="30"/>
          <w:szCs w:val="30"/>
          <w:highlight w:val="none"/>
        </w:rPr>
        <w:t>验收要求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本项目成果需经市规划和自然资源局局</w:t>
      </w:r>
      <w:r>
        <w:rPr>
          <w:rFonts w:hint="eastAsia" w:ascii="仿宋_GB2312" w:hAnsi="仿宋_GB2312" w:eastAsia="仿宋_GB2312" w:cs="仿宋_GB2312"/>
          <w:color w:val="auto"/>
          <w:sz w:val="30"/>
          <w:szCs w:val="30"/>
          <w:highlight w:val="none"/>
          <w:lang w:val="en-US" w:eastAsia="zh-CN"/>
        </w:rPr>
        <w:t>专题</w:t>
      </w:r>
      <w:r>
        <w:rPr>
          <w:rFonts w:hint="eastAsia" w:ascii="仿宋_GB2312" w:hAnsi="仿宋_GB2312" w:eastAsia="仿宋_GB2312" w:cs="仿宋_GB2312"/>
          <w:color w:val="auto"/>
          <w:sz w:val="30"/>
          <w:szCs w:val="30"/>
          <w:highlight w:val="none"/>
        </w:rPr>
        <w:t>会验收通过。</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3.</w:t>
      </w:r>
      <w:r>
        <w:rPr>
          <w:rFonts w:hint="eastAsia" w:ascii="仿宋_GB2312" w:hAnsi="仿宋_GB2312" w:eastAsia="仿宋_GB2312" w:cs="仿宋_GB2312"/>
          <w:color w:val="auto"/>
          <w:sz w:val="30"/>
          <w:szCs w:val="30"/>
          <w:highlight w:val="none"/>
        </w:rPr>
        <w:t>成果交付形式及数量</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1）按深圳市规划和自然资源局的具体要求交付，</w:t>
      </w:r>
      <w:r>
        <w:rPr>
          <w:rFonts w:hint="eastAsia" w:ascii="仿宋_GB2312" w:hAnsi="仿宋_GB2312" w:eastAsia="仿宋_GB2312" w:cs="仿宋_GB2312"/>
          <w:color w:val="auto"/>
          <w:sz w:val="30"/>
          <w:szCs w:val="30"/>
          <w:highlight w:val="none"/>
          <w:lang w:eastAsia="zh-CN"/>
        </w:rPr>
        <w:t>成果应落实数字化交付要求，</w:t>
      </w:r>
      <w:r>
        <w:rPr>
          <w:rFonts w:hint="eastAsia" w:ascii="仿宋_GB2312" w:hAnsi="仿宋_GB2312" w:eastAsia="仿宋_GB2312" w:cs="仿宋_GB2312"/>
          <w:color w:val="auto"/>
          <w:sz w:val="30"/>
          <w:szCs w:val="30"/>
          <w:highlight w:val="none"/>
          <w:lang w:val="en-US" w:eastAsia="zh-CN"/>
        </w:rPr>
        <w:t>成果</w:t>
      </w:r>
      <w:r>
        <w:rPr>
          <w:rFonts w:hint="eastAsia" w:ascii="仿宋_GB2312" w:hAnsi="仿宋_GB2312" w:eastAsia="仿宋_GB2312" w:cs="仿宋_GB2312"/>
          <w:color w:val="auto"/>
          <w:sz w:val="30"/>
          <w:szCs w:val="30"/>
          <w:highlight w:val="none"/>
        </w:rPr>
        <w:t>包括电子（光盘）成果、纸质成果等各</w:t>
      </w: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套，提交数量应能满足招标人的使用要求。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2）项目按照合同要求的时间节点完成</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提交地点为深圳市规划和自然资源局。</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四</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项目质量要求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严格落实国家、省有关土地利用计划管理改革要求，合理统筹指标获取与配置，最终成果应符合部、省相关政策要求，并通过深圳市规划和自然资源局验收。</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五</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人员安排</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独立设置项目组，有固定的项目负责人和联系人，项目组专业技术人员不少于5人。</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项目组负责人具有国土行业高级职称，具备规划和国土行业5年以上工作经验，熟悉国家、广东省、深圳市农转用和土地利用计划指标管理</w:t>
      </w:r>
      <w:r>
        <w:rPr>
          <w:rFonts w:hint="eastAsia" w:ascii="仿宋_GB2312" w:hAnsi="仿宋_GB2312" w:eastAsia="仿宋_GB2312" w:cs="仿宋_GB2312"/>
          <w:color w:val="auto"/>
          <w:sz w:val="30"/>
          <w:szCs w:val="30"/>
          <w:highlight w:val="none"/>
          <w:lang w:val="en-US" w:eastAsia="zh-CN"/>
        </w:rPr>
        <w:t>等</w:t>
      </w:r>
      <w:r>
        <w:rPr>
          <w:rFonts w:hint="eastAsia" w:ascii="仿宋_GB2312" w:hAnsi="仿宋_GB2312" w:eastAsia="仿宋_GB2312" w:cs="仿宋_GB2312"/>
          <w:color w:val="auto"/>
          <w:sz w:val="30"/>
          <w:szCs w:val="30"/>
          <w:highlight w:val="none"/>
        </w:rPr>
        <w:t>政策要求。</w:t>
      </w: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hint="eastAsia" w:ascii="仿宋_GB2312" w:hAnsi="仿宋_GB2312" w:eastAsia="仿宋_GB2312" w:cs="仿宋_GB2312"/>
          <w:b/>
          <w:bCs/>
          <w:color w:val="auto"/>
          <w:sz w:val="30"/>
          <w:szCs w:val="30"/>
          <w:highlight w:val="none"/>
        </w:rPr>
      </w:pP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hint="eastAsia" w:ascii="仿宋_GB2312" w:hAnsi="仿宋_GB2312" w:eastAsia="仿宋_GB2312" w:cs="仿宋_GB2312"/>
          <w:b w:val="0"/>
          <w:bCs w:val="0"/>
          <w:color w:val="auto"/>
          <w:sz w:val="30"/>
          <w:szCs w:val="30"/>
          <w:highlight w:val="none"/>
        </w:rPr>
      </w:pPr>
      <w:r>
        <w:rPr>
          <w:rFonts w:hint="eastAsia" w:ascii="仿宋_GB2312" w:hAnsi="仿宋_GB2312" w:eastAsia="仿宋_GB2312" w:cs="仿宋_GB2312"/>
          <w:b w:val="0"/>
          <w:bCs w:val="0"/>
          <w:color w:val="auto"/>
          <w:sz w:val="30"/>
          <w:szCs w:val="30"/>
          <w:highlight w:val="none"/>
        </w:rPr>
        <w:t>三、供应商资格要求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一</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具有独立法人资格</w:t>
      </w:r>
      <w:r>
        <w:rPr>
          <w:rFonts w:hint="eastAsia" w:ascii="仿宋_GB2312" w:hAnsi="仿宋_GB2312" w:eastAsia="仿宋_GB2312" w:cs="仿宋_GB2312"/>
          <w:color w:val="auto"/>
          <w:sz w:val="30"/>
          <w:szCs w:val="30"/>
          <w:highlight w:val="none"/>
          <w:lang w:eastAsia="zh-CN"/>
        </w:rPr>
        <w:t>。</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二</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本项目不接受联合体投标，不允许</w:t>
      </w:r>
      <w:r>
        <w:rPr>
          <w:rFonts w:hint="eastAsia" w:ascii="仿宋_GB2312" w:hAnsi="仿宋_GB2312" w:eastAsia="仿宋_GB2312" w:cs="仿宋_GB2312"/>
          <w:color w:val="auto"/>
          <w:sz w:val="30"/>
          <w:szCs w:val="30"/>
          <w:highlight w:val="none"/>
          <w:lang w:val="en-US" w:eastAsia="zh-CN"/>
        </w:rPr>
        <w:t>转包、</w:t>
      </w:r>
      <w:r>
        <w:rPr>
          <w:rFonts w:hint="eastAsia" w:ascii="仿宋_GB2312" w:hAnsi="仿宋_GB2312" w:eastAsia="仿宋_GB2312" w:cs="仿宋_GB2312"/>
          <w:color w:val="auto"/>
          <w:sz w:val="30"/>
          <w:szCs w:val="30"/>
          <w:highlight w:val="none"/>
        </w:rPr>
        <w:t>分包（不接受投标人选用进口产品参与投标）。</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三</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参与本项目投标前三年内，在经营活动中没有重大违法记录（由供应商在《政府采购投标及履约承诺函》中作出声明）。</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四</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参与本项目政府采购活动时不存在被有关部门禁止参与政府采购活动且在有效期内的情况（由供应商在《政府采购投标及履约承诺函》中作出声明）。</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五</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具备《中华人民共和国政府采购法》第二十二条第一款的条件（由供应商在《政府采购投标及履约承诺函》中作出声明）。</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六</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未被列入失信被执行人、重大税收违法案件当事人名单、政府采购严重违法失信行为记录名单（由供应商在《政府采购投标及履约承诺函》中作出声明）。</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注：“信用中国”、“中国政府采购网”、“深圳信用网”以及“深圳市政府采购监管网”为供应商信用信息的查询渠道，相关信息以开标当日的查询结果为准。</w:t>
      </w: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hint="eastAsia" w:ascii="仿宋_GB2312" w:hAnsi="仿宋_GB2312" w:eastAsia="仿宋_GB2312" w:cs="仿宋_GB2312"/>
          <w:b/>
          <w:bCs/>
          <w:color w:val="auto"/>
          <w:sz w:val="30"/>
          <w:szCs w:val="30"/>
          <w:highlight w:val="none"/>
          <w:lang w:val="en-US" w:eastAsia="zh-CN"/>
        </w:rPr>
      </w:pPr>
    </w:p>
    <w:p>
      <w:pPr>
        <w:pStyle w:val="9"/>
        <w:keepNext w:val="0"/>
        <w:keepLines w:val="0"/>
        <w:pageBreakBefore w:val="0"/>
        <w:widowControl w:val="0"/>
        <w:kinsoku/>
        <w:overflowPunct/>
        <w:topLinePunct w:val="0"/>
        <w:autoSpaceDE/>
        <w:autoSpaceDN/>
        <w:bidi w:val="0"/>
        <w:adjustRightInd w:val="0"/>
        <w:spacing w:line="480" w:lineRule="exact"/>
        <w:ind w:firstLine="0" w:firstLineChars="0"/>
        <w:rPr>
          <w:rFonts w:hint="eastAsia" w:ascii="仿宋_GB2312" w:hAnsi="仿宋_GB2312" w:eastAsia="仿宋_GB2312" w:cs="仿宋_GB2312"/>
          <w:b w:val="0"/>
          <w:bCs w:val="0"/>
          <w:color w:val="auto"/>
          <w:sz w:val="30"/>
          <w:szCs w:val="30"/>
          <w:highlight w:val="none"/>
        </w:rPr>
      </w:pPr>
      <w:r>
        <w:rPr>
          <w:rFonts w:hint="eastAsia" w:ascii="仿宋_GB2312" w:hAnsi="仿宋_GB2312" w:eastAsia="仿宋_GB2312" w:cs="仿宋_GB2312"/>
          <w:b w:val="0"/>
          <w:bCs w:val="0"/>
          <w:color w:val="auto"/>
          <w:sz w:val="30"/>
          <w:szCs w:val="30"/>
          <w:highlight w:val="none"/>
          <w:lang w:val="en-US" w:eastAsia="zh-CN"/>
        </w:rPr>
        <w:t>四</w:t>
      </w:r>
      <w:r>
        <w:rPr>
          <w:rFonts w:hint="eastAsia" w:ascii="仿宋_GB2312" w:hAnsi="仿宋_GB2312" w:eastAsia="仿宋_GB2312" w:cs="仿宋_GB2312"/>
          <w:b w:val="0"/>
          <w:bCs w:val="0"/>
          <w:color w:val="auto"/>
          <w:sz w:val="30"/>
          <w:szCs w:val="30"/>
          <w:highlight w:val="none"/>
        </w:rPr>
        <w:t>、商务需求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（一）服务期：本项目履行期限为自合同签订之日起12个月内。遇有特殊情况，经</w:t>
      </w:r>
      <w:r>
        <w:rPr>
          <w:rFonts w:hint="eastAsia" w:ascii="仿宋_GB2312" w:hAnsi="仿宋_GB2312" w:eastAsia="仿宋_GB2312" w:cs="仿宋_GB2312"/>
          <w:color w:val="auto"/>
          <w:sz w:val="30"/>
          <w:szCs w:val="30"/>
          <w:highlight w:val="none"/>
          <w:lang w:val="en-US" w:eastAsia="zh-CN"/>
        </w:rPr>
        <w:t>采购方和中标方</w:t>
      </w:r>
      <w:r>
        <w:rPr>
          <w:rFonts w:hint="eastAsia" w:ascii="仿宋_GB2312" w:hAnsi="仿宋_GB2312" w:eastAsia="仿宋_GB2312" w:cs="仿宋_GB2312"/>
          <w:color w:val="auto"/>
          <w:sz w:val="30"/>
          <w:szCs w:val="30"/>
          <w:highlight w:val="none"/>
        </w:rPr>
        <w:t>协商后服务期限可适当延长。</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（二）服务地点：深圳市。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（三）报价要求：</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本项目服务费采用包干制，应包括服务成本、法定税费和企业的利润。由投标供应商根据采购文件所提供的资料自行测算投标报价；一经中标，报价总价作为中标供应商与采购人签定的合同金额，合同期限内不做调整。</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2.投标供应商应当根据本企业的成本自行决定报价，但不得以低于其企业成本的报价投标。</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3.投标供应商的报价不得超过项目预算金额。</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4.投标供应商的报价，应当是本项目采购范围和采购文件及合同条款上所列的各项内容中所述的全部，不得以任何理由予以重复。</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6.投标供应商应先到项目地点踏勘以充分了解项目的位置、情况、道路及任何其它足以影响投标报价的情况，任何因忽视或误解项目情况而导致的索赔或服务期限延长申请将不获批准。</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7.投标供应商不得期望通过索赔等方式获取补偿，否则，除可能遭到拒绝外，还可能将被作为不良行为记录在案，并可能影响其以后参加政府采购的项目投标。各投标供应商在报价时，应充分考虑报价的风险。</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（四）付款方式：本项目分三期支付合同款。</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首期款：自双方签订合同之日起20个工作日内，根据中标方提出的付款申请，采购方按照合同要求支付中标方合同总价款的</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0%；</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二期款：中标方提交完成深圳市</w:t>
      </w:r>
      <w:r>
        <w:rPr>
          <w:rFonts w:hint="eastAsia" w:ascii="仿宋_GB2312" w:hAnsi="仿宋_GB2312" w:eastAsia="仿宋_GB2312" w:cs="仿宋_GB2312"/>
          <w:color w:val="auto"/>
          <w:sz w:val="30"/>
          <w:szCs w:val="30"/>
          <w:highlight w:val="none"/>
          <w:lang w:val="en-US" w:eastAsia="zh-CN"/>
        </w:rPr>
        <w:t>2025年1-3季度</w:t>
      </w:r>
      <w:r>
        <w:rPr>
          <w:rFonts w:hint="eastAsia" w:ascii="仿宋_GB2312" w:hAnsi="仿宋_GB2312" w:eastAsia="仿宋_GB2312" w:cs="仿宋_GB2312"/>
          <w:color w:val="auto"/>
          <w:sz w:val="30"/>
          <w:szCs w:val="30"/>
          <w:highlight w:val="none"/>
        </w:rPr>
        <w:t>新增建设用地指标</w:t>
      </w:r>
      <w:r>
        <w:rPr>
          <w:rFonts w:hint="eastAsia" w:ascii="仿宋_GB2312" w:hAnsi="仿宋_GB2312" w:eastAsia="仿宋_GB2312" w:cs="仿宋_GB2312"/>
          <w:color w:val="auto"/>
          <w:sz w:val="30"/>
          <w:szCs w:val="30"/>
          <w:highlight w:val="none"/>
          <w:lang w:val="en-US" w:eastAsia="zh-CN"/>
        </w:rPr>
        <w:t>使用</w:t>
      </w:r>
      <w:r>
        <w:rPr>
          <w:rFonts w:hint="eastAsia" w:ascii="仿宋_GB2312" w:hAnsi="仿宋_GB2312" w:eastAsia="仿宋_GB2312" w:cs="仿宋_GB2312"/>
          <w:color w:val="auto"/>
          <w:sz w:val="30"/>
          <w:szCs w:val="30"/>
          <w:highlight w:val="none"/>
        </w:rPr>
        <w:t>数据库，经采购方负责处室审查通过后20个工作日内支付，采购方按照合同要求支付中标方合同总价款的</w:t>
      </w:r>
      <w:r>
        <w:rPr>
          <w:rFonts w:hint="eastAsia" w:ascii="仿宋_GB2312" w:hAnsi="仿宋_GB2312" w:eastAsia="仿宋_GB2312" w:cs="仿宋_GB2312"/>
          <w:color w:val="auto"/>
          <w:sz w:val="30"/>
          <w:szCs w:val="30"/>
          <w:highlight w:val="none"/>
          <w:lang w:val="en-US" w:eastAsia="zh-CN"/>
        </w:rPr>
        <w:t>40</w:t>
      </w:r>
      <w:r>
        <w:rPr>
          <w:rFonts w:hint="eastAsia" w:ascii="仿宋_GB2312" w:hAnsi="仿宋_GB2312" w:eastAsia="仿宋_GB2312" w:cs="仿宋_GB2312"/>
          <w:color w:val="auto"/>
          <w:sz w:val="30"/>
          <w:szCs w:val="30"/>
          <w:highlight w:val="none"/>
        </w:rPr>
        <w:t>%；</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尾款：中标方提交完成本项目全部成果，并通过采购方成果验收后20个工作日内，采购方按照合同要求支付中标方合同总价款的</w:t>
      </w:r>
      <w:r>
        <w:rPr>
          <w:rFonts w:hint="eastAsia" w:ascii="仿宋_GB2312" w:hAnsi="仿宋_GB2312" w:eastAsia="仿宋_GB2312" w:cs="仿宋_GB2312"/>
          <w:color w:val="auto"/>
          <w:sz w:val="30"/>
          <w:szCs w:val="30"/>
          <w:highlight w:val="none"/>
          <w:lang w:val="en-US" w:eastAsia="zh-CN"/>
        </w:rPr>
        <w:t>40</w:t>
      </w:r>
      <w:r>
        <w:rPr>
          <w:rFonts w:hint="eastAsia" w:ascii="仿宋_GB2312" w:hAnsi="仿宋_GB2312" w:eastAsia="仿宋_GB2312" w:cs="仿宋_GB2312"/>
          <w:color w:val="auto"/>
          <w:sz w:val="30"/>
          <w:szCs w:val="30"/>
          <w:highlight w:val="none"/>
        </w:rPr>
        <w:t>%。</w:t>
      </w:r>
    </w:p>
    <w:p>
      <w:pPr>
        <w:pStyle w:val="9"/>
        <w:keepNext w:val="0"/>
        <w:keepLines w:val="0"/>
        <w:pageBreakBefore w:val="0"/>
        <w:widowControl w:val="0"/>
        <w:numPr>
          <w:ilvl w:val="0"/>
          <w:numId w:val="1"/>
        </w:numPr>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履约担保金：</w:t>
      </w:r>
      <w:r>
        <w:rPr>
          <w:rFonts w:hint="eastAsia" w:ascii="仿宋_GB2312" w:hAnsi="仿宋_GB2312" w:eastAsia="仿宋_GB2312" w:cs="仿宋_GB2312"/>
          <w:color w:val="auto"/>
          <w:sz w:val="30"/>
          <w:szCs w:val="30"/>
          <w:highlight w:val="none"/>
          <w:lang w:val="en-US"/>
        </w:rPr>
        <w:t>履约保证金占合同金额</w:t>
      </w:r>
      <w:r>
        <w:rPr>
          <w:rFonts w:hint="eastAsia" w:ascii="仿宋_GB2312" w:hAnsi="仿宋_GB2312" w:eastAsia="仿宋_GB2312" w:cs="仿宋_GB2312"/>
          <w:color w:val="auto"/>
          <w:sz w:val="30"/>
          <w:szCs w:val="30"/>
          <w:highlight w:val="none"/>
          <w:u w:val="none"/>
          <w:lang w:val="en-US"/>
        </w:rPr>
        <w:t>0</w:t>
      </w:r>
      <w:r>
        <w:rPr>
          <w:rFonts w:hint="eastAsia" w:ascii="仿宋_GB2312" w:hAnsi="仿宋_GB2312" w:eastAsia="仿宋_GB2312" w:cs="仿宋_GB2312"/>
          <w:color w:val="auto"/>
          <w:sz w:val="30"/>
          <w:szCs w:val="30"/>
          <w:highlight w:val="none"/>
          <w:lang w:val="en-US"/>
        </w:rPr>
        <w:t>%</w:t>
      </w:r>
      <w:r>
        <w:rPr>
          <w:rFonts w:hint="eastAsia" w:ascii="仿宋_GB2312" w:hAnsi="仿宋_GB2312" w:eastAsia="仿宋_GB2312" w:cs="仿宋_GB2312"/>
          <w:color w:val="auto"/>
          <w:sz w:val="30"/>
          <w:szCs w:val="30"/>
          <w:highlight w:val="none"/>
        </w:rPr>
        <w:t>。</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（六）违约责任：</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lang w:eastAsia="zh-CN"/>
        </w:rPr>
        <w:t>采购方的责任</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合同签订后，中标方未展开工作前，由于采购方项目停止或其他自身原因而终止合同的，采购方偿付中标方合同总价款的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%；中标方已展开工作的，采购方应按完成的实际工作量支付项目价款，并按合同总价款的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%向中标方支付有违约金。</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采购方无正当理由拒不接受服务、拒付合同价款，中标方有权要求采购方接受服务并支付应付的合同价款。采购方应向中标方支付合同约定的合同总价款的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%作为违约金。</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（3）</w:t>
      </w:r>
      <w:r>
        <w:rPr>
          <w:rFonts w:hint="eastAsia" w:ascii="仿宋_GB2312" w:hAnsi="仿宋_GB2312" w:eastAsia="仿宋_GB2312" w:cs="仿宋_GB2312"/>
          <w:color w:val="auto"/>
          <w:sz w:val="30"/>
          <w:szCs w:val="30"/>
          <w:highlight w:val="none"/>
        </w:rPr>
        <w:t>采购方变更委托项目内容、规模、条件，或对所提供资料作较大修改时，应于确定修改之日起</w:t>
      </w:r>
      <w:r>
        <w:rPr>
          <w:rFonts w:hint="eastAsia" w:ascii="仿宋_GB2312" w:hAnsi="仿宋_GB2312" w:eastAsia="仿宋_GB2312" w:cs="仿宋_GB2312"/>
          <w:color w:val="auto"/>
          <w:sz w:val="30"/>
          <w:szCs w:val="30"/>
          <w:highlight w:val="none"/>
          <w:lang w:val="en-US" w:eastAsia="zh-CN"/>
        </w:rPr>
        <w:t>5</w:t>
      </w:r>
      <w:r>
        <w:rPr>
          <w:rFonts w:hint="eastAsia" w:ascii="仿宋_GB2312" w:hAnsi="仿宋_GB2312" w:eastAsia="仿宋_GB2312" w:cs="仿宋_GB2312"/>
          <w:color w:val="auto"/>
          <w:sz w:val="30"/>
          <w:szCs w:val="30"/>
          <w:highlight w:val="none"/>
        </w:rPr>
        <w:t>个工作日内告知中标方。因以上原因造成中标方返工，工作量按合同规定的计费标准计算未超过合同总价款的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%时，中标方予以免费返工；工作量按合同规定的计费标准计算超过合同总价款的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%但未超过</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0%时，采购方应按中标方返工所耗工作量向中标方支付返工费；工作量按合同规定的计费标准计算达到或超过合同总价款的</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0%时，双方应协商签订补充协议或另行签订合同，重新明确有关条款。</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（4）</w:t>
      </w:r>
      <w:r>
        <w:rPr>
          <w:rFonts w:hint="eastAsia" w:ascii="仿宋_GB2312" w:hAnsi="仿宋_GB2312" w:eastAsia="仿宋_GB2312" w:cs="仿宋_GB2312"/>
          <w:color w:val="auto"/>
          <w:sz w:val="30"/>
          <w:szCs w:val="30"/>
          <w:highlight w:val="none"/>
        </w:rPr>
        <w:t>采购方未按合同约定，延迟或未足额支付合同价款的，中标方有权要求采购方支付该阶段未付合同价款每日</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‰的逾期违约金，逾期违约金总额不超过合同总价款的</w:t>
      </w: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0%，且中标方提交成果的时间顺延。逾期超过</w:t>
      </w:r>
      <w:r>
        <w:rPr>
          <w:rFonts w:hint="eastAsia" w:ascii="仿宋_GB2312" w:hAnsi="仿宋_GB2312" w:eastAsia="仿宋_GB2312" w:cs="仿宋_GB2312"/>
          <w:color w:val="auto"/>
          <w:sz w:val="30"/>
          <w:szCs w:val="30"/>
          <w:highlight w:val="none"/>
          <w:lang w:val="en-US" w:eastAsia="zh-CN"/>
        </w:rPr>
        <w:t>5</w:t>
      </w:r>
      <w:r>
        <w:rPr>
          <w:rFonts w:hint="eastAsia" w:ascii="仿宋_GB2312" w:hAnsi="仿宋_GB2312" w:eastAsia="仿宋_GB2312" w:cs="仿宋_GB2312"/>
          <w:color w:val="auto"/>
          <w:sz w:val="30"/>
          <w:szCs w:val="30"/>
          <w:highlight w:val="none"/>
        </w:rPr>
        <w:t>个工作日（含</w:t>
      </w:r>
      <w:r>
        <w:rPr>
          <w:rFonts w:hint="eastAsia" w:ascii="仿宋_GB2312" w:hAnsi="仿宋_GB2312" w:eastAsia="仿宋_GB2312" w:cs="仿宋_GB2312"/>
          <w:color w:val="auto"/>
          <w:sz w:val="30"/>
          <w:szCs w:val="30"/>
          <w:highlight w:val="none"/>
          <w:lang w:val="en-US" w:eastAsia="zh-CN"/>
        </w:rPr>
        <w:t>5</w:t>
      </w:r>
      <w:r>
        <w:rPr>
          <w:rFonts w:hint="eastAsia" w:ascii="仿宋_GB2312" w:hAnsi="仿宋_GB2312" w:eastAsia="仿宋_GB2312" w:cs="仿宋_GB2312"/>
          <w:color w:val="auto"/>
          <w:sz w:val="30"/>
          <w:szCs w:val="30"/>
          <w:highlight w:val="none"/>
        </w:rPr>
        <w:t>个工作日）以上时，中标方有权暂停履行下阶段工作，并书面通知采购方。因政府内部付款审批原因导致采购方迟延付款的，不视为采购方逾期付款。</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中标方的责任</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合同签订后，如中标方擅自中途终止或解除合同，中标方向采购方赔偿合同总价款的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%，并归还采购方预付的全部项目款。</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未经采购方许可，中标方将合同项目与第三方合作，或将合同标的的全部或部分擅自转包给第三方的，采购方有权要求中标方终止与第三方的合同。中标方应承担因此而产生的相关责任，并应向采购方支付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%的违约金。</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（3）</w:t>
      </w:r>
      <w:r>
        <w:rPr>
          <w:rFonts w:hint="eastAsia" w:ascii="仿宋_GB2312" w:hAnsi="仿宋_GB2312" w:eastAsia="仿宋_GB2312" w:cs="仿宋_GB2312"/>
          <w:color w:val="auto"/>
          <w:sz w:val="30"/>
          <w:szCs w:val="30"/>
          <w:highlight w:val="none"/>
        </w:rPr>
        <w:t>如中标方因自身原因不能履行合同义务或无法按照合同的约定提供服务，采购方有权终止合同，损失由中标方承担，中标方应向采购方支付合同总价款的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%的违约金，同时要求中标方退回全部已收合同款项。</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（4）</w:t>
      </w:r>
      <w:r>
        <w:rPr>
          <w:rFonts w:hint="eastAsia" w:ascii="仿宋_GB2312" w:hAnsi="仿宋_GB2312" w:eastAsia="仿宋_GB2312" w:cs="仿宋_GB2312"/>
          <w:color w:val="auto"/>
          <w:sz w:val="30"/>
          <w:szCs w:val="30"/>
          <w:highlight w:val="none"/>
        </w:rPr>
        <w:t>中标方无正当理由不按照合同的约定提供服务或者违反规定的义务，采购方有权要求中标方退还部分或者全部已付的合同款项，并应向采购方支付合同总价款的</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%的违约金。</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（5）</w:t>
      </w:r>
      <w:r>
        <w:rPr>
          <w:rFonts w:hint="eastAsia" w:ascii="仿宋_GB2312" w:hAnsi="仿宋_GB2312" w:eastAsia="仿宋_GB2312" w:cs="仿宋_GB2312"/>
          <w:color w:val="auto"/>
          <w:sz w:val="30"/>
          <w:szCs w:val="30"/>
          <w:highlight w:val="none"/>
        </w:rPr>
        <w:t>合同履行期间，中标方因自身原因未能按合同约定的日期(含协商延缓的日期)提交项目成果和造成验收时间延后，检测、验收中的产品更改费由中标方承担。给采购方造成损失的，损害由中标方承担，每逾期一天须支付给采购方合同总价款的</w:t>
      </w:r>
      <w:r>
        <w:rPr>
          <w:rFonts w:hint="eastAsia" w:ascii="仿宋_GB2312" w:hAnsi="仿宋_GB2312" w:eastAsia="仿宋_GB2312" w:cs="仿宋_GB2312"/>
          <w:color w:val="auto"/>
          <w:sz w:val="30"/>
          <w:szCs w:val="30"/>
          <w:highlight w:val="none"/>
          <w:lang w:val="en-US" w:eastAsia="zh-CN"/>
        </w:rPr>
        <w:t>2</w:t>
      </w:r>
      <w:r>
        <w:rPr>
          <w:rFonts w:hint="eastAsia" w:ascii="仿宋_GB2312" w:hAnsi="仿宋_GB2312" w:eastAsia="仿宋_GB2312" w:cs="仿宋_GB2312"/>
          <w:color w:val="auto"/>
          <w:sz w:val="30"/>
          <w:szCs w:val="30"/>
          <w:highlight w:val="none"/>
        </w:rPr>
        <w:t>‰作为违约金，逾期违约金总额不超过合同总价款的10%。</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（6）</w:t>
      </w:r>
      <w:r>
        <w:rPr>
          <w:rFonts w:hint="eastAsia" w:ascii="仿宋_GB2312" w:hAnsi="仿宋_GB2312" w:eastAsia="仿宋_GB2312" w:cs="仿宋_GB2312"/>
          <w:color w:val="auto"/>
          <w:sz w:val="30"/>
          <w:szCs w:val="30"/>
          <w:highlight w:val="none"/>
        </w:rPr>
        <w:t>由于中标方工作的错误或遗漏造成项目成果验收不合格的，采购方给予中标方一定的宽限期，中标方应在宽限期内无偿予以重新开展工作或采取补救措施，以达到质量要求，且应免收受损失部分的合同价款，并支付合同总价款</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%的违约金。如采购方提出异议后中标方不作答复或者无理由推脱的或中标方无法在宽限期内完成整改的，采购方有权终止合同，损失由中标方承担，中标方须退回合同全额费用，并要求中标方支付合同总价款</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%的违约金。因项目成果不符合合同要求给采购方造成损失的，中标方应负全部责任。</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（7）</w:t>
      </w:r>
      <w:r>
        <w:rPr>
          <w:rFonts w:hint="eastAsia" w:ascii="仿宋_GB2312" w:hAnsi="仿宋_GB2312" w:eastAsia="仿宋_GB2312" w:cs="仿宋_GB2312"/>
          <w:color w:val="auto"/>
          <w:sz w:val="30"/>
          <w:szCs w:val="30"/>
          <w:highlight w:val="none"/>
        </w:rPr>
        <w:t>中标方未按合同的约定，擅自修改已经提交验收的成果文件的，应承担因此产生的一切后果，并赔偿采购方合同总价款</w:t>
      </w:r>
      <w:r>
        <w:rPr>
          <w:rFonts w:hint="eastAsia" w:ascii="仿宋_GB2312" w:hAnsi="仿宋_GB2312" w:eastAsia="仿宋_GB2312" w:cs="仿宋_GB2312"/>
          <w:color w:val="auto"/>
          <w:sz w:val="30"/>
          <w:szCs w:val="30"/>
          <w:highlight w:val="none"/>
          <w:lang w:val="en-US" w:eastAsia="zh-CN"/>
        </w:rPr>
        <w:t>20</w:t>
      </w:r>
      <w:r>
        <w:rPr>
          <w:rFonts w:hint="eastAsia" w:ascii="仿宋_GB2312" w:hAnsi="仿宋_GB2312" w:eastAsia="仿宋_GB2312" w:cs="仿宋_GB2312"/>
          <w:color w:val="auto"/>
          <w:sz w:val="30"/>
          <w:szCs w:val="30"/>
          <w:highlight w:val="none"/>
        </w:rPr>
        <w:t>%的违约金。</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（8）</w:t>
      </w:r>
      <w:r>
        <w:rPr>
          <w:rFonts w:hint="eastAsia" w:ascii="仿宋_GB2312" w:hAnsi="仿宋_GB2312" w:eastAsia="仿宋_GB2312" w:cs="仿宋_GB2312"/>
          <w:color w:val="auto"/>
          <w:sz w:val="30"/>
          <w:szCs w:val="30"/>
          <w:highlight w:val="none"/>
        </w:rPr>
        <w:t>中标方组织的项目组成员不符合合同约定的工作内容和技术要求，或未经采购方同意，中标方擅自变更约定的项目组主要成员，采购方有权责成中标方采取补救措施或调整项目组主要成员构成。</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（9）</w:t>
      </w:r>
      <w:r>
        <w:rPr>
          <w:rFonts w:hint="eastAsia" w:ascii="仿宋_GB2312" w:hAnsi="仿宋_GB2312" w:eastAsia="仿宋_GB2312" w:cs="仿宋_GB2312"/>
          <w:color w:val="auto"/>
          <w:sz w:val="30"/>
          <w:szCs w:val="30"/>
          <w:highlight w:val="none"/>
        </w:rPr>
        <w:t>本项目最终成果验收后1年以内，中标方未按采购方要求就本项目提供必要解释和接受咨询的，采购方可要求中标方承担合同总价款</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%的违约金，上述违约金可以在支付合同款项时优先予以扣除。</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合同履行期间，中标方承担第三方委托的本项目范围内有利益冲突的其他项目，一经发现，无论合同正在履行或已履行完毕，采购方均有权追究中标方责任，并要求中标方支付合同总价款</w:t>
      </w:r>
      <w:r>
        <w:rPr>
          <w:rFonts w:hint="eastAsia" w:ascii="仿宋_GB2312" w:hAnsi="仿宋_GB2312" w:eastAsia="仿宋_GB2312" w:cs="仿宋_GB2312"/>
          <w:color w:val="auto"/>
          <w:sz w:val="30"/>
          <w:szCs w:val="30"/>
          <w:highlight w:val="none"/>
          <w:lang w:val="en-US" w:eastAsia="zh-CN"/>
        </w:rPr>
        <w:t>10</w:t>
      </w:r>
      <w:r>
        <w:rPr>
          <w:rFonts w:hint="eastAsia" w:ascii="仿宋_GB2312" w:hAnsi="仿宋_GB2312" w:eastAsia="仿宋_GB2312" w:cs="仿宋_GB2312"/>
          <w:color w:val="auto"/>
          <w:sz w:val="30"/>
          <w:szCs w:val="30"/>
          <w:highlight w:val="none"/>
        </w:rPr>
        <w:t>%的违约金。</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（11）</w:t>
      </w:r>
      <w:r>
        <w:rPr>
          <w:rFonts w:hint="eastAsia" w:ascii="仿宋_GB2312" w:hAnsi="仿宋_GB2312" w:eastAsia="仿宋_GB2312" w:cs="仿宋_GB2312"/>
          <w:color w:val="auto"/>
          <w:sz w:val="30"/>
          <w:szCs w:val="30"/>
          <w:highlight w:val="none"/>
        </w:rPr>
        <w:t>如中标方提交的服务成果侵犯第三方合法权益的，一切法律责任均由中标方承担，同时中标方保证采购方在第三方主张权益时免受损失，并赔偿采购方合同总价款10%的违约金。</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lang w:val="en-US" w:eastAsia="zh-CN"/>
        </w:rPr>
        <w:t>12</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中标方因过错导致采购方蒙受重大经济损失，中标方应当承担赔偿责任。</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（七）其他</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特定供应商</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单位名称：深圳市规划国土发展研究中心</w:t>
      </w:r>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rPr>
        <w:t>项目经办人：</w:t>
      </w:r>
      <w:r>
        <w:rPr>
          <w:rFonts w:hint="eastAsia" w:ascii="仿宋_GB2312" w:hAnsi="仿宋_GB2312" w:eastAsia="仿宋_GB2312" w:cs="仿宋_GB2312"/>
          <w:color w:val="auto"/>
          <w:sz w:val="30"/>
          <w:szCs w:val="30"/>
          <w:highlight w:val="none"/>
          <w:lang w:val="en-US" w:eastAsia="zh-CN"/>
        </w:rPr>
        <w:t>吴工</w:t>
      </w:r>
      <w:bookmarkStart w:id="0" w:name="_GoBack"/>
      <w:bookmarkEnd w:id="0"/>
    </w:p>
    <w:p>
      <w:pPr>
        <w:pStyle w:val="9"/>
        <w:keepNext w:val="0"/>
        <w:keepLines w:val="0"/>
        <w:pageBreakBefore w:val="0"/>
        <w:widowControl w:val="0"/>
        <w:kinsoku/>
        <w:wordWrap/>
        <w:overflowPunct/>
        <w:topLinePunct w:val="0"/>
        <w:autoSpaceDE/>
        <w:autoSpaceDN/>
        <w:bidi w:val="0"/>
        <w:adjustRightInd w:val="0"/>
        <w:snapToGrid/>
        <w:spacing w:line="480" w:lineRule="exact"/>
        <w:ind w:firstLine="600" w:firstLineChars="200"/>
        <w:textAlignment w:val="auto"/>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联系电话：0755-83949409</w:t>
      </w: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016324"/>
    <w:multiLevelType w:val="singleLevel"/>
    <w:tmpl w:val="3A01632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54DE8"/>
    <w:rsid w:val="00D96508"/>
    <w:rsid w:val="049522F5"/>
    <w:rsid w:val="053017FC"/>
    <w:rsid w:val="07D60EE8"/>
    <w:rsid w:val="08092D41"/>
    <w:rsid w:val="08647852"/>
    <w:rsid w:val="0AFF049B"/>
    <w:rsid w:val="0B1D31AA"/>
    <w:rsid w:val="0EA03FCF"/>
    <w:rsid w:val="1206101D"/>
    <w:rsid w:val="13BC03EF"/>
    <w:rsid w:val="1885099E"/>
    <w:rsid w:val="18CC1DB5"/>
    <w:rsid w:val="1A2E54C8"/>
    <w:rsid w:val="1AC126A5"/>
    <w:rsid w:val="1C8D0EAC"/>
    <w:rsid w:val="2604386C"/>
    <w:rsid w:val="2CDB3AA9"/>
    <w:rsid w:val="2F444C18"/>
    <w:rsid w:val="3046587D"/>
    <w:rsid w:val="31641F54"/>
    <w:rsid w:val="328A5CFA"/>
    <w:rsid w:val="334B2535"/>
    <w:rsid w:val="362605FB"/>
    <w:rsid w:val="36287465"/>
    <w:rsid w:val="37AC0A53"/>
    <w:rsid w:val="39A25A6A"/>
    <w:rsid w:val="3AAB3FD3"/>
    <w:rsid w:val="3DCE51F2"/>
    <w:rsid w:val="423D356A"/>
    <w:rsid w:val="425F0874"/>
    <w:rsid w:val="44721CA9"/>
    <w:rsid w:val="471D7285"/>
    <w:rsid w:val="4ABD162D"/>
    <w:rsid w:val="4E692D6D"/>
    <w:rsid w:val="4EBF2AC2"/>
    <w:rsid w:val="4F966B9E"/>
    <w:rsid w:val="4FB7432F"/>
    <w:rsid w:val="506F6F85"/>
    <w:rsid w:val="509E1EA5"/>
    <w:rsid w:val="52607B75"/>
    <w:rsid w:val="54AA0574"/>
    <w:rsid w:val="556947FF"/>
    <w:rsid w:val="55C313F2"/>
    <w:rsid w:val="5651556D"/>
    <w:rsid w:val="5A285120"/>
    <w:rsid w:val="5B9E55DE"/>
    <w:rsid w:val="5ED86940"/>
    <w:rsid w:val="600543E6"/>
    <w:rsid w:val="610D1978"/>
    <w:rsid w:val="6A0F6F89"/>
    <w:rsid w:val="6A593D5E"/>
    <w:rsid w:val="6A5C2664"/>
    <w:rsid w:val="6ABE66C7"/>
    <w:rsid w:val="6E4D44E5"/>
    <w:rsid w:val="6E794BCD"/>
    <w:rsid w:val="6EBB30B8"/>
    <w:rsid w:val="70703A03"/>
    <w:rsid w:val="70D91D9B"/>
    <w:rsid w:val="71842D01"/>
    <w:rsid w:val="73CD0F2F"/>
    <w:rsid w:val="74382828"/>
    <w:rsid w:val="79FC6D47"/>
    <w:rsid w:val="7BC9696F"/>
    <w:rsid w:val="7BFA2F80"/>
    <w:rsid w:val="7D5143C3"/>
    <w:rsid w:val="7E4C4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spacing w:after="160" w:line="259" w:lineRule="auto"/>
    </w:pPr>
    <w:rPr>
      <w:rFonts w:ascii="等线" w:hAnsi="等线" w:eastAsia="等线" w:cs="Times New Roman"/>
      <w:kern w:val="0"/>
      <w:sz w:val="22"/>
    </w:rPr>
  </w:style>
  <w:style w:type="paragraph" w:styleId="4">
    <w:name w:val="Body Text"/>
    <w:basedOn w:val="1"/>
    <w:next w:val="5"/>
    <w:qFormat/>
    <w:uiPriority w:val="0"/>
    <w:pPr>
      <w:widowControl w:val="0"/>
      <w:spacing w:before="61"/>
      <w:ind w:left="102"/>
    </w:pPr>
    <w:rPr>
      <w:rFonts w:ascii="宋体" w:hAnsi="宋体" w:eastAsia="宋体"/>
      <w:kern w:val="0"/>
      <w:sz w:val="28"/>
      <w:szCs w:val="28"/>
      <w:lang w:eastAsia="en-US"/>
    </w:rPr>
  </w:style>
  <w:style w:type="paragraph" w:styleId="5">
    <w:name w:val="Title"/>
    <w:basedOn w:val="1"/>
    <w:next w:val="1"/>
    <w:qFormat/>
    <w:uiPriority w:val="0"/>
    <w:pPr>
      <w:spacing w:before="240" w:after="60"/>
      <w:jc w:val="center"/>
      <w:outlineLvl w:val="0"/>
    </w:pPr>
    <w:rPr>
      <w:rFonts w:ascii="Cambria" w:hAnsi="Cambria" w:eastAsia="宋体"/>
      <w:b/>
      <w:bCs/>
    </w:rPr>
  </w:style>
  <w:style w:type="paragraph" w:styleId="6">
    <w:name w:val="footnote text"/>
    <w:basedOn w:val="1"/>
    <w:qFormat/>
    <w:uiPriority w:val="0"/>
    <w:pPr>
      <w:snapToGrid w:val="0"/>
      <w:jc w:val="left"/>
    </w:pPr>
    <w:rPr>
      <w:sz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2025-01-23T01:16:00Z</dcterms:created>
  <dc:creator>hongxh</dc:creator>
  <cp:lastModifiedBy>Administrator</cp:lastModifiedBy>
  <cp:lastPrinted>2025-04-02T03:34:00Z</cp:lastPrinted>
  <dcterms:modified xsi:type="dcterms:W3CDTF">2025-04-30T08:55:46Z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651485054E0D4FCCB7F620A28889D472</vt:lpwstr>
  </property>
</Properties>
</file>